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CCED" w14:textId="1DABB522" w:rsidR="00983967" w:rsidRPr="007D5208" w:rsidRDefault="007D5208">
      <w:pPr>
        <w:rPr>
          <w:b/>
          <w:bCs/>
        </w:rPr>
      </w:pPr>
      <w:r>
        <w:rPr>
          <w:b/>
          <w:bCs/>
        </w:rPr>
        <w:t xml:space="preserve">Newport Surgery </w:t>
      </w:r>
      <w:r w:rsidR="000F32C6" w:rsidRPr="007D5208">
        <w:rPr>
          <w:b/>
          <w:bCs/>
        </w:rPr>
        <w:t>Patient Participation Group (PPG) Minutes 20 Dec 2024</w:t>
      </w:r>
    </w:p>
    <w:p w14:paraId="56285E4A" w14:textId="77777777" w:rsidR="000F32C6" w:rsidRDefault="000F32C6"/>
    <w:p w14:paraId="1516EE71" w14:textId="270628AE" w:rsidR="000F32C6" w:rsidRDefault="000F32C6">
      <w:r>
        <w:t>Present:</w:t>
      </w:r>
    </w:p>
    <w:p w14:paraId="4199C0A0" w14:textId="4ADB9F1E" w:rsidR="000F32C6" w:rsidRDefault="000F32C6">
      <w:r>
        <w:t>Christine Smith – Chair</w:t>
      </w:r>
    </w:p>
    <w:p w14:paraId="00BB96F5" w14:textId="5BAD24E3" w:rsidR="000F32C6" w:rsidRDefault="000F32C6">
      <w:r>
        <w:t>Sandra M Stillwell – Practice Manager</w:t>
      </w:r>
    </w:p>
    <w:p w14:paraId="5EC372C6" w14:textId="1B420461" w:rsidR="000F32C6" w:rsidRDefault="000F32C6">
      <w:r>
        <w:t>Sara C Stephens – Deputy Manager</w:t>
      </w:r>
    </w:p>
    <w:p w14:paraId="2FA1F3C5" w14:textId="576B02B7" w:rsidR="000F32C6" w:rsidRDefault="000F32C6">
      <w:r>
        <w:t>12 other patients of the practice</w:t>
      </w:r>
    </w:p>
    <w:p w14:paraId="1834F214" w14:textId="77777777" w:rsidR="000F32C6" w:rsidRDefault="000F32C6"/>
    <w:p w14:paraId="072CFF40" w14:textId="77777777" w:rsidR="007D5208" w:rsidRPr="007D5208" w:rsidRDefault="007D5208" w:rsidP="007D5208">
      <w:pPr>
        <w:pStyle w:val="ListParagraph"/>
        <w:numPr>
          <w:ilvl w:val="0"/>
          <w:numId w:val="2"/>
        </w:numPr>
        <w:rPr>
          <w:b/>
          <w:bCs/>
        </w:rPr>
      </w:pPr>
      <w:r w:rsidRPr="007D5208">
        <w:rPr>
          <w:b/>
          <w:bCs/>
        </w:rPr>
        <w:t>Welcome &amp; introductions</w:t>
      </w:r>
    </w:p>
    <w:p w14:paraId="6E0B8E16" w14:textId="072A91EE" w:rsidR="000F32C6" w:rsidRDefault="000F32C6" w:rsidP="007D5208">
      <w:r>
        <w:t>Sandra Stillwell welcomed all to the meeting and spoke on behalf of the Practi</w:t>
      </w:r>
      <w:r w:rsidR="007D5208">
        <w:t>ce.</w:t>
      </w:r>
    </w:p>
    <w:p w14:paraId="47F34B48" w14:textId="77777777" w:rsidR="007D5208" w:rsidRDefault="007D5208" w:rsidP="007D5208"/>
    <w:p w14:paraId="4DA11985" w14:textId="6D3DC5A2" w:rsidR="000F32C6" w:rsidRPr="007D5208" w:rsidRDefault="000F32C6" w:rsidP="007D5208">
      <w:pPr>
        <w:pStyle w:val="ListParagraph"/>
        <w:numPr>
          <w:ilvl w:val="0"/>
          <w:numId w:val="2"/>
        </w:numPr>
        <w:rPr>
          <w:b/>
          <w:bCs/>
        </w:rPr>
      </w:pPr>
      <w:r w:rsidRPr="007D5208">
        <w:rPr>
          <w:b/>
          <w:bCs/>
        </w:rPr>
        <w:t>Practice Website</w:t>
      </w:r>
    </w:p>
    <w:p w14:paraId="5734AF86" w14:textId="5FA45B0D" w:rsidR="000F32C6" w:rsidRDefault="000F32C6">
      <w:r>
        <w:t>It was agreed by all present that the Newport Surgery Website is difficult to use and not kept up to date.</w:t>
      </w:r>
    </w:p>
    <w:p w14:paraId="75CE5770" w14:textId="65588E21" w:rsidR="000F32C6" w:rsidRDefault="000F32C6">
      <w:r>
        <w:t>SMS explained that North Uttlesford PCN are setting up a new PCN website, along with a new Practice website with information tailored to us.</w:t>
      </w:r>
    </w:p>
    <w:p w14:paraId="20B1533C" w14:textId="77777777" w:rsidR="000F32C6" w:rsidRDefault="000F32C6">
      <w:r>
        <w:t xml:space="preserve">Questionnaires were handed to all present (see attached) as the Practice would like input from the PPG as to what information they would like to see.  </w:t>
      </w:r>
    </w:p>
    <w:p w14:paraId="5FC1395D" w14:textId="1E2804AB" w:rsidR="000F32C6" w:rsidRDefault="000F32C6">
      <w:r w:rsidRPr="000F32C6">
        <w:rPr>
          <w:b/>
          <w:bCs/>
        </w:rPr>
        <w:t>Action</w:t>
      </w:r>
      <w:r>
        <w:t xml:space="preserve"> - </w:t>
      </w:r>
      <w:r w:rsidRPr="007D5208">
        <w:rPr>
          <w:i/>
          <w:iCs/>
        </w:rPr>
        <w:t>Christine Smith stated that she would be happy to collate the information received and feed back at the next meeting.</w:t>
      </w:r>
    </w:p>
    <w:p w14:paraId="5D3F8490" w14:textId="4FD9A227" w:rsidR="000F32C6" w:rsidRDefault="000F32C6">
      <w:r w:rsidRPr="000F32C6">
        <w:rPr>
          <w:b/>
          <w:bCs/>
        </w:rPr>
        <w:t>Action</w:t>
      </w:r>
      <w:r>
        <w:t xml:space="preserve"> – </w:t>
      </w:r>
      <w:r w:rsidRPr="007D5208">
        <w:rPr>
          <w:i/>
          <w:iCs/>
        </w:rPr>
        <w:t>SCS will let CS know when first draft of website is available to view.  SCS warned CS that this may take some time as it is being arranged centrally via the PCN.</w:t>
      </w:r>
    </w:p>
    <w:p w14:paraId="4764A8B5" w14:textId="77777777" w:rsidR="000F32C6" w:rsidRDefault="000F32C6"/>
    <w:p w14:paraId="7AB96D1A" w14:textId="12411C64" w:rsidR="007D5208" w:rsidRPr="007D5208" w:rsidRDefault="007D5208" w:rsidP="007D5208">
      <w:pPr>
        <w:pStyle w:val="ListParagraph"/>
        <w:numPr>
          <w:ilvl w:val="0"/>
          <w:numId w:val="2"/>
        </w:numPr>
        <w:rPr>
          <w:b/>
          <w:bCs/>
        </w:rPr>
      </w:pPr>
      <w:r w:rsidRPr="007D5208">
        <w:rPr>
          <w:b/>
          <w:bCs/>
        </w:rPr>
        <w:t>Patient Demographics</w:t>
      </w:r>
    </w:p>
    <w:p w14:paraId="146DE94E" w14:textId="77777777" w:rsidR="007D5208" w:rsidRDefault="007D5208">
      <w:r>
        <w:t xml:space="preserve">SMS gave statistics of current patient demographics within the Practice.  </w:t>
      </w:r>
    </w:p>
    <w:p w14:paraId="49C6C8CB" w14:textId="77777777" w:rsidR="007D5208" w:rsidRDefault="007D5208">
      <w:r>
        <w:t>Newport Surgery currently has 9598 patients of whom:</w:t>
      </w:r>
    </w:p>
    <w:p w14:paraId="4F8C05DE" w14:textId="77777777" w:rsidR="007D5208" w:rsidRDefault="007D5208">
      <w:r>
        <w:t xml:space="preserve">1939 are aged 18 or under, and </w:t>
      </w:r>
    </w:p>
    <w:p w14:paraId="5E7497AD" w14:textId="6A11FFB7" w:rsidR="007D5208" w:rsidRDefault="007D5208">
      <w:r>
        <w:t>2334 are over the age of 66</w:t>
      </w:r>
    </w:p>
    <w:p w14:paraId="34A9E05F" w14:textId="77777777" w:rsidR="007D5208" w:rsidRDefault="007D5208"/>
    <w:p w14:paraId="5D1B8AAF" w14:textId="3C8F8E93" w:rsidR="007D5208" w:rsidRPr="007D5208" w:rsidRDefault="007D5208" w:rsidP="007D5208">
      <w:pPr>
        <w:pStyle w:val="ListParagraph"/>
        <w:numPr>
          <w:ilvl w:val="0"/>
          <w:numId w:val="2"/>
        </w:numPr>
        <w:rPr>
          <w:b/>
          <w:bCs/>
        </w:rPr>
      </w:pPr>
      <w:r w:rsidRPr="007D5208">
        <w:rPr>
          <w:b/>
          <w:bCs/>
        </w:rPr>
        <w:lastRenderedPageBreak/>
        <w:t>New Staff</w:t>
      </w:r>
    </w:p>
    <w:p w14:paraId="1E2D3D47" w14:textId="3E99FAD1" w:rsidR="007D5208" w:rsidRDefault="007D5208">
      <w:r>
        <w:t>Newport Surgery has had changes to the clinical team as follows:</w:t>
      </w:r>
    </w:p>
    <w:p w14:paraId="62F53B09" w14:textId="1EB663DE" w:rsidR="007D5208" w:rsidRDefault="007D5208" w:rsidP="007D5208">
      <w:r>
        <w:t>Jenny our Advanced Nurse Practitioner has moved on and will be missed by the Practice &amp; our patients</w:t>
      </w:r>
    </w:p>
    <w:p w14:paraId="629934BE" w14:textId="2E1DC785" w:rsidR="007D5208" w:rsidRDefault="007D5208" w:rsidP="007D5208">
      <w:r>
        <w:t>We have a new Advanced Nurse Practitioner named Jo who should be starting in early 2025</w:t>
      </w:r>
    </w:p>
    <w:p w14:paraId="66CD0911" w14:textId="7F1CBF69" w:rsidR="007D5208" w:rsidRDefault="007D5208" w:rsidP="007D5208">
      <w:r>
        <w:t>Vivian, our new Practice Nurse started last month and is working two days per week</w:t>
      </w:r>
    </w:p>
    <w:p w14:paraId="3EFC172E" w14:textId="569B6FF2" w:rsidR="007D5208" w:rsidRDefault="007D5208" w:rsidP="007D5208">
      <w:r>
        <w:t>Laura our Phlebotomist/Receptionist is currently undergoing training to become a full time Healthcare Assistant</w:t>
      </w:r>
    </w:p>
    <w:p w14:paraId="5AE1900A" w14:textId="77777777" w:rsidR="007D5208" w:rsidRDefault="007D5208"/>
    <w:p w14:paraId="7A20A36E" w14:textId="13921813" w:rsidR="007D5208" w:rsidRPr="007D5208" w:rsidRDefault="007D5208" w:rsidP="007D5208">
      <w:pPr>
        <w:pStyle w:val="ListParagraph"/>
        <w:numPr>
          <w:ilvl w:val="0"/>
          <w:numId w:val="2"/>
        </w:numPr>
        <w:rPr>
          <w:b/>
          <w:bCs/>
        </w:rPr>
      </w:pPr>
      <w:r w:rsidRPr="007D5208">
        <w:rPr>
          <w:b/>
          <w:bCs/>
        </w:rPr>
        <w:t>Think Pharmacy First</w:t>
      </w:r>
    </w:p>
    <w:p w14:paraId="63C1A332" w14:textId="432B335C" w:rsidR="007D5208" w:rsidRDefault="007D5208">
      <w:r>
        <w:t>SMS explained the Pharmacy First guidelines which were rolled out earlier in the year</w:t>
      </w:r>
    </w:p>
    <w:p w14:paraId="0504A630" w14:textId="79DA809E" w:rsidR="007D5208" w:rsidRDefault="007D5208">
      <w:r>
        <w:t>Pharmacists can see pts with the following ailments.</w:t>
      </w:r>
    </w:p>
    <w:tbl>
      <w:tblPr>
        <w:tblW w:w="12600" w:type="dxa"/>
        <w:tblCellMar>
          <w:left w:w="0" w:type="dxa"/>
          <w:right w:w="0" w:type="dxa"/>
        </w:tblCellMar>
        <w:tblLook w:val="04A0" w:firstRow="1" w:lastRow="0" w:firstColumn="1" w:lastColumn="0" w:noHBand="0" w:noVBand="1"/>
      </w:tblPr>
      <w:tblGrid>
        <w:gridCol w:w="5529"/>
        <w:gridCol w:w="7071"/>
      </w:tblGrid>
      <w:tr w:rsidR="007D5208" w:rsidRPr="007D5208" w14:paraId="58E016D0" w14:textId="77777777" w:rsidTr="007D5208">
        <w:tc>
          <w:tcPr>
            <w:tcW w:w="5529" w:type="dxa"/>
            <w:shd w:val="clear" w:color="auto" w:fill="auto"/>
            <w:tcMar>
              <w:top w:w="113" w:type="dxa"/>
              <w:left w:w="0" w:type="dxa"/>
              <w:bottom w:w="113" w:type="dxa"/>
              <w:right w:w="0" w:type="dxa"/>
            </w:tcMar>
            <w:vAlign w:val="bottom"/>
            <w:hideMark/>
          </w:tcPr>
          <w:p w14:paraId="798C8E52" w14:textId="045B1851" w:rsidR="007D5208" w:rsidRPr="007D5208" w:rsidRDefault="007D5208" w:rsidP="007D5208">
            <w:r w:rsidRPr="007D5208">
              <w:t>Acute otitis media</w:t>
            </w:r>
            <w:r>
              <w:t xml:space="preserve"> (ear ache)</w:t>
            </w:r>
          </w:p>
        </w:tc>
        <w:tc>
          <w:tcPr>
            <w:tcW w:w="7071" w:type="dxa"/>
            <w:shd w:val="clear" w:color="auto" w:fill="auto"/>
            <w:tcMar>
              <w:top w:w="113" w:type="dxa"/>
              <w:left w:w="0" w:type="dxa"/>
              <w:bottom w:w="113" w:type="dxa"/>
              <w:right w:w="0" w:type="dxa"/>
            </w:tcMar>
            <w:vAlign w:val="bottom"/>
            <w:hideMark/>
          </w:tcPr>
          <w:p w14:paraId="203CD5BA" w14:textId="77777777" w:rsidR="007D5208" w:rsidRPr="007D5208" w:rsidRDefault="007D5208" w:rsidP="007D5208">
            <w:r w:rsidRPr="007D5208">
              <w:t>1 to 17 years</w:t>
            </w:r>
          </w:p>
        </w:tc>
      </w:tr>
      <w:tr w:rsidR="007D5208" w:rsidRPr="007D5208" w14:paraId="396BBDEB" w14:textId="77777777" w:rsidTr="007D5208">
        <w:tc>
          <w:tcPr>
            <w:tcW w:w="5529" w:type="dxa"/>
            <w:shd w:val="clear" w:color="auto" w:fill="auto"/>
            <w:tcMar>
              <w:top w:w="113" w:type="dxa"/>
              <w:left w:w="0" w:type="dxa"/>
              <w:bottom w:w="113" w:type="dxa"/>
              <w:right w:w="0" w:type="dxa"/>
            </w:tcMar>
            <w:vAlign w:val="bottom"/>
            <w:hideMark/>
          </w:tcPr>
          <w:p w14:paraId="27D80607" w14:textId="77777777" w:rsidR="007D5208" w:rsidRPr="007D5208" w:rsidRDefault="007D5208" w:rsidP="007D5208">
            <w:r w:rsidRPr="007D5208">
              <w:t>Impetigo</w:t>
            </w:r>
          </w:p>
        </w:tc>
        <w:tc>
          <w:tcPr>
            <w:tcW w:w="7071" w:type="dxa"/>
            <w:shd w:val="clear" w:color="auto" w:fill="auto"/>
            <w:tcMar>
              <w:top w:w="113" w:type="dxa"/>
              <w:left w:w="0" w:type="dxa"/>
              <w:bottom w:w="113" w:type="dxa"/>
              <w:right w:w="0" w:type="dxa"/>
            </w:tcMar>
            <w:vAlign w:val="bottom"/>
            <w:hideMark/>
          </w:tcPr>
          <w:p w14:paraId="256BF391" w14:textId="77777777" w:rsidR="007D5208" w:rsidRPr="007D5208" w:rsidRDefault="007D5208" w:rsidP="007D5208">
            <w:r w:rsidRPr="007D5208">
              <w:t>1 year and over</w:t>
            </w:r>
          </w:p>
        </w:tc>
      </w:tr>
      <w:tr w:rsidR="007D5208" w:rsidRPr="007D5208" w14:paraId="3FD3E53C" w14:textId="77777777" w:rsidTr="007D5208">
        <w:tc>
          <w:tcPr>
            <w:tcW w:w="5529" w:type="dxa"/>
            <w:shd w:val="clear" w:color="auto" w:fill="auto"/>
            <w:tcMar>
              <w:top w:w="113" w:type="dxa"/>
              <w:left w:w="0" w:type="dxa"/>
              <w:bottom w:w="113" w:type="dxa"/>
              <w:right w:w="0" w:type="dxa"/>
            </w:tcMar>
            <w:vAlign w:val="bottom"/>
            <w:hideMark/>
          </w:tcPr>
          <w:p w14:paraId="7561BBB5" w14:textId="77777777" w:rsidR="007D5208" w:rsidRPr="007D5208" w:rsidRDefault="007D5208" w:rsidP="007D5208">
            <w:r w:rsidRPr="007D5208">
              <w:t>Infected insect bites</w:t>
            </w:r>
          </w:p>
        </w:tc>
        <w:tc>
          <w:tcPr>
            <w:tcW w:w="7071" w:type="dxa"/>
            <w:shd w:val="clear" w:color="auto" w:fill="auto"/>
            <w:tcMar>
              <w:top w:w="113" w:type="dxa"/>
              <w:left w:w="0" w:type="dxa"/>
              <w:bottom w:w="113" w:type="dxa"/>
              <w:right w:w="0" w:type="dxa"/>
            </w:tcMar>
            <w:vAlign w:val="bottom"/>
            <w:hideMark/>
          </w:tcPr>
          <w:p w14:paraId="416AF8B4" w14:textId="77777777" w:rsidR="007D5208" w:rsidRPr="007D5208" w:rsidRDefault="007D5208" w:rsidP="007D5208">
            <w:r w:rsidRPr="007D5208">
              <w:t>1 year and over</w:t>
            </w:r>
          </w:p>
        </w:tc>
      </w:tr>
      <w:tr w:rsidR="007D5208" w:rsidRPr="007D5208" w14:paraId="42DEDB88" w14:textId="77777777" w:rsidTr="007D5208">
        <w:tc>
          <w:tcPr>
            <w:tcW w:w="5529" w:type="dxa"/>
            <w:shd w:val="clear" w:color="auto" w:fill="auto"/>
            <w:tcMar>
              <w:top w:w="113" w:type="dxa"/>
              <w:left w:w="0" w:type="dxa"/>
              <w:bottom w:w="113" w:type="dxa"/>
              <w:right w:w="0" w:type="dxa"/>
            </w:tcMar>
            <w:vAlign w:val="bottom"/>
            <w:hideMark/>
          </w:tcPr>
          <w:p w14:paraId="3F0E1274" w14:textId="77777777" w:rsidR="007D5208" w:rsidRPr="007D5208" w:rsidRDefault="007D5208" w:rsidP="007D5208">
            <w:r w:rsidRPr="007D5208">
              <w:t>Shingles</w:t>
            </w:r>
          </w:p>
        </w:tc>
        <w:tc>
          <w:tcPr>
            <w:tcW w:w="7071" w:type="dxa"/>
            <w:shd w:val="clear" w:color="auto" w:fill="auto"/>
            <w:tcMar>
              <w:top w:w="113" w:type="dxa"/>
              <w:left w:w="0" w:type="dxa"/>
              <w:bottom w:w="113" w:type="dxa"/>
              <w:right w:w="0" w:type="dxa"/>
            </w:tcMar>
            <w:vAlign w:val="bottom"/>
            <w:hideMark/>
          </w:tcPr>
          <w:p w14:paraId="19E6B5F3" w14:textId="77777777" w:rsidR="007D5208" w:rsidRPr="007D5208" w:rsidRDefault="007D5208" w:rsidP="007D5208">
            <w:r w:rsidRPr="007D5208">
              <w:t>18 years and over</w:t>
            </w:r>
          </w:p>
        </w:tc>
      </w:tr>
      <w:tr w:rsidR="007D5208" w:rsidRPr="007D5208" w14:paraId="59CFE4CD" w14:textId="77777777" w:rsidTr="007D5208">
        <w:tc>
          <w:tcPr>
            <w:tcW w:w="5529" w:type="dxa"/>
            <w:shd w:val="clear" w:color="auto" w:fill="auto"/>
            <w:tcMar>
              <w:top w:w="113" w:type="dxa"/>
              <w:left w:w="0" w:type="dxa"/>
              <w:bottom w:w="113" w:type="dxa"/>
              <w:right w:w="0" w:type="dxa"/>
            </w:tcMar>
            <w:vAlign w:val="bottom"/>
            <w:hideMark/>
          </w:tcPr>
          <w:p w14:paraId="7A98C958" w14:textId="77777777" w:rsidR="007D5208" w:rsidRPr="007D5208" w:rsidRDefault="007D5208" w:rsidP="007D5208">
            <w:r w:rsidRPr="007D5208">
              <w:t>Sinusitis</w:t>
            </w:r>
          </w:p>
        </w:tc>
        <w:tc>
          <w:tcPr>
            <w:tcW w:w="7071" w:type="dxa"/>
            <w:shd w:val="clear" w:color="auto" w:fill="auto"/>
            <w:tcMar>
              <w:top w:w="113" w:type="dxa"/>
              <w:left w:w="0" w:type="dxa"/>
              <w:bottom w:w="113" w:type="dxa"/>
              <w:right w:w="0" w:type="dxa"/>
            </w:tcMar>
            <w:vAlign w:val="bottom"/>
            <w:hideMark/>
          </w:tcPr>
          <w:p w14:paraId="5271261C" w14:textId="77777777" w:rsidR="007D5208" w:rsidRPr="007D5208" w:rsidRDefault="007D5208" w:rsidP="007D5208">
            <w:r w:rsidRPr="007D5208">
              <w:t>12 years and over</w:t>
            </w:r>
          </w:p>
        </w:tc>
      </w:tr>
      <w:tr w:rsidR="007D5208" w:rsidRPr="007D5208" w14:paraId="28F4F2DC" w14:textId="77777777" w:rsidTr="007D5208">
        <w:tc>
          <w:tcPr>
            <w:tcW w:w="5529" w:type="dxa"/>
            <w:shd w:val="clear" w:color="auto" w:fill="auto"/>
            <w:tcMar>
              <w:top w:w="113" w:type="dxa"/>
              <w:left w:w="0" w:type="dxa"/>
              <w:bottom w:w="113" w:type="dxa"/>
              <w:right w:w="0" w:type="dxa"/>
            </w:tcMar>
            <w:vAlign w:val="bottom"/>
            <w:hideMark/>
          </w:tcPr>
          <w:p w14:paraId="17896424" w14:textId="77777777" w:rsidR="007D5208" w:rsidRPr="007D5208" w:rsidRDefault="007D5208" w:rsidP="007D5208">
            <w:r w:rsidRPr="007D5208">
              <w:t>Sore throat</w:t>
            </w:r>
          </w:p>
        </w:tc>
        <w:tc>
          <w:tcPr>
            <w:tcW w:w="7071" w:type="dxa"/>
            <w:shd w:val="clear" w:color="auto" w:fill="auto"/>
            <w:tcMar>
              <w:top w:w="113" w:type="dxa"/>
              <w:left w:w="0" w:type="dxa"/>
              <w:bottom w:w="113" w:type="dxa"/>
              <w:right w:w="0" w:type="dxa"/>
            </w:tcMar>
            <w:vAlign w:val="bottom"/>
            <w:hideMark/>
          </w:tcPr>
          <w:p w14:paraId="0CD3807D" w14:textId="77777777" w:rsidR="007D5208" w:rsidRPr="007D5208" w:rsidRDefault="007D5208" w:rsidP="007D5208">
            <w:r w:rsidRPr="007D5208">
              <w:t>5 years and over</w:t>
            </w:r>
          </w:p>
        </w:tc>
      </w:tr>
      <w:tr w:rsidR="007D5208" w:rsidRPr="007D5208" w14:paraId="357CD8C8" w14:textId="77777777" w:rsidTr="007D5208">
        <w:tc>
          <w:tcPr>
            <w:tcW w:w="5529" w:type="dxa"/>
            <w:shd w:val="clear" w:color="auto" w:fill="auto"/>
            <w:tcMar>
              <w:top w:w="113" w:type="dxa"/>
              <w:left w:w="0" w:type="dxa"/>
              <w:bottom w:w="113" w:type="dxa"/>
              <w:right w:w="0" w:type="dxa"/>
            </w:tcMar>
            <w:vAlign w:val="bottom"/>
            <w:hideMark/>
          </w:tcPr>
          <w:p w14:paraId="5815A548" w14:textId="77777777" w:rsidR="007D5208" w:rsidRPr="007D5208" w:rsidRDefault="007D5208" w:rsidP="007D5208">
            <w:r w:rsidRPr="007D5208">
              <w:t>Uncomplicated urinary tract infections</w:t>
            </w:r>
          </w:p>
        </w:tc>
        <w:tc>
          <w:tcPr>
            <w:tcW w:w="7071" w:type="dxa"/>
            <w:shd w:val="clear" w:color="auto" w:fill="auto"/>
            <w:tcMar>
              <w:top w:w="113" w:type="dxa"/>
              <w:left w:w="0" w:type="dxa"/>
              <w:bottom w:w="113" w:type="dxa"/>
              <w:right w:w="0" w:type="dxa"/>
            </w:tcMar>
            <w:vAlign w:val="bottom"/>
            <w:hideMark/>
          </w:tcPr>
          <w:p w14:paraId="5172A04F" w14:textId="77777777" w:rsidR="007D5208" w:rsidRPr="007D5208" w:rsidRDefault="007D5208" w:rsidP="007D5208">
            <w:r w:rsidRPr="007D5208">
              <w:t>Women 16-64 years</w:t>
            </w:r>
          </w:p>
        </w:tc>
      </w:tr>
    </w:tbl>
    <w:p w14:paraId="1457973C" w14:textId="77777777" w:rsidR="007D5208" w:rsidRDefault="007D5208"/>
    <w:p w14:paraId="08736DB1" w14:textId="77777777" w:rsidR="007D5208" w:rsidRDefault="007D5208" w:rsidP="007D5208">
      <w:r>
        <w:t>It is an NHS England requirement that patients are signposted to this service before seeing a clinician within the GP surgery.</w:t>
      </w:r>
    </w:p>
    <w:p w14:paraId="527FB5EF" w14:textId="66EAB03A" w:rsidR="007D5208" w:rsidRDefault="007D5208" w:rsidP="007D5208">
      <w:r>
        <w:t>Our Care Navigation team send detailed referrals to a Pharmacy of the patient’s choice</w:t>
      </w:r>
    </w:p>
    <w:p w14:paraId="1A7DDB7E" w14:textId="77777777" w:rsidR="007D5208" w:rsidRDefault="007D5208" w:rsidP="007D5208"/>
    <w:p w14:paraId="42305CCB" w14:textId="4B526AC1" w:rsidR="007D5208" w:rsidRDefault="007D5208" w:rsidP="007D5208">
      <w:r>
        <w:lastRenderedPageBreak/>
        <w:t>Along with the GP Surgery, there are other services to which our Care Navigators may refer our patients</w:t>
      </w:r>
    </w:p>
    <w:p w14:paraId="6491A1ED" w14:textId="03D690E2" w:rsidR="007D5208" w:rsidRDefault="007D5208" w:rsidP="007D5208">
      <w:pPr>
        <w:pStyle w:val="ListParagraph"/>
        <w:numPr>
          <w:ilvl w:val="0"/>
          <w:numId w:val="3"/>
        </w:numPr>
      </w:pPr>
      <w:r>
        <w:t>Pharmacy First - as above</w:t>
      </w:r>
    </w:p>
    <w:p w14:paraId="28E5A48C" w14:textId="5980F030" w:rsidR="007D5208" w:rsidRDefault="007D5208" w:rsidP="007D5208">
      <w:pPr>
        <w:pStyle w:val="ListParagraph"/>
        <w:numPr>
          <w:ilvl w:val="0"/>
          <w:numId w:val="3"/>
        </w:numPr>
      </w:pPr>
      <w:r>
        <w:t>Minor Injuries Unit Bishops Stortford</w:t>
      </w:r>
    </w:p>
    <w:p w14:paraId="57D71D3E" w14:textId="6992691F" w:rsidR="007D5208" w:rsidRDefault="007D5208" w:rsidP="007D5208">
      <w:pPr>
        <w:pStyle w:val="ListParagraph"/>
        <w:numPr>
          <w:ilvl w:val="0"/>
          <w:numId w:val="3"/>
        </w:numPr>
      </w:pPr>
      <w:r>
        <w:t>Minor Eye Conditions Service (MECS) Clinic Saffron Walden</w:t>
      </w:r>
    </w:p>
    <w:p w14:paraId="5DFCC15A" w14:textId="2FA5BC24" w:rsidR="007D5208" w:rsidRDefault="007D5208" w:rsidP="007D5208">
      <w:pPr>
        <w:pStyle w:val="ListParagraph"/>
        <w:numPr>
          <w:ilvl w:val="0"/>
          <w:numId w:val="3"/>
        </w:numPr>
      </w:pPr>
      <w:r>
        <w:t>111</w:t>
      </w:r>
    </w:p>
    <w:p w14:paraId="11666C0C" w14:textId="2B678452" w:rsidR="007D5208" w:rsidRDefault="007D5208" w:rsidP="007D5208">
      <w:pPr>
        <w:pStyle w:val="ListParagraph"/>
        <w:numPr>
          <w:ilvl w:val="0"/>
          <w:numId w:val="3"/>
        </w:numPr>
      </w:pPr>
      <w:r>
        <w:t>Accident &amp; Emergency</w:t>
      </w:r>
    </w:p>
    <w:p w14:paraId="62E9E099" w14:textId="77777777" w:rsidR="007D5208" w:rsidRDefault="007D5208" w:rsidP="007D5208"/>
    <w:p w14:paraId="499A4ACF" w14:textId="6DFE603E" w:rsidR="007D5208" w:rsidRPr="007D5208" w:rsidRDefault="007D5208" w:rsidP="007D5208">
      <w:pPr>
        <w:pStyle w:val="ListParagraph"/>
        <w:numPr>
          <w:ilvl w:val="0"/>
          <w:numId w:val="2"/>
        </w:numPr>
        <w:rPr>
          <w:b/>
          <w:bCs/>
        </w:rPr>
      </w:pPr>
      <w:r w:rsidRPr="007D5208">
        <w:rPr>
          <w:b/>
          <w:bCs/>
        </w:rPr>
        <w:t>What Can our PPG do for us as a surgery?</w:t>
      </w:r>
    </w:p>
    <w:p w14:paraId="05DD8C8A" w14:textId="538F7854" w:rsidR="007D5208" w:rsidRDefault="007D5208" w:rsidP="007D5208">
      <w:r>
        <w:t>CS will collate ideas and bring them with her to the next meeting</w:t>
      </w:r>
    </w:p>
    <w:p w14:paraId="4AB68B67" w14:textId="05259F17" w:rsidR="007D5208" w:rsidRDefault="007D5208" w:rsidP="007D5208">
      <w:r>
        <w:t>SCS stated that it would be a great asset to the surgery to have a new Blood Pressure monitoring machine in the waiting room.</w:t>
      </w:r>
    </w:p>
    <w:p w14:paraId="48E4F47F" w14:textId="0B2AFE24" w:rsidR="007D5208" w:rsidRDefault="007D5208" w:rsidP="007D5208">
      <w:r>
        <w:t>It was agreed that the PPG could look at fundraising opportunities for the purchase of the machine.</w:t>
      </w:r>
    </w:p>
    <w:p w14:paraId="4BE1861C" w14:textId="08490E34" w:rsidR="007D5208" w:rsidRDefault="007D5208" w:rsidP="007D5208">
      <w:pPr>
        <w:rPr>
          <w:i/>
          <w:iCs/>
        </w:rPr>
      </w:pPr>
      <w:r w:rsidRPr="007D5208">
        <w:rPr>
          <w:b/>
          <w:bCs/>
        </w:rPr>
        <w:t>Action</w:t>
      </w:r>
      <w:r>
        <w:t xml:space="preserve">: </w:t>
      </w:r>
      <w:r w:rsidRPr="007D5208">
        <w:rPr>
          <w:i/>
          <w:iCs/>
        </w:rPr>
        <w:t xml:space="preserve">SCS to send details of the type of BP monitor we </w:t>
      </w:r>
      <w:r>
        <w:rPr>
          <w:i/>
          <w:iCs/>
        </w:rPr>
        <w:t>could use in the surgery Waiting room</w:t>
      </w:r>
      <w:r w:rsidR="00731C3D">
        <w:rPr>
          <w:i/>
          <w:iCs/>
        </w:rPr>
        <w:t xml:space="preserve"> – SEE BELOW</w:t>
      </w:r>
    </w:p>
    <w:p w14:paraId="68E81800" w14:textId="77777777" w:rsidR="00731C3D" w:rsidRDefault="00731C3D" w:rsidP="007D5208">
      <w:pPr>
        <w:rPr>
          <w:i/>
          <w:iCs/>
        </w:rPr>
      </w:pPr>
    </w:p>
    <w:p w14:paraId="7B05C87A" w14:textId="7117F474" w:rsidR="00731C3D" w:rsidRDefault="00731C3D" w:rsidP="007D5208">
      <w:pPr>
        <w:rPr>
          <w:i/>
          <w:iCs/>
        </w:rPr>
      </w:pPr>
      <w:hyperlink r:id="rId5" w:history="1">
        <w:r w:rsidRPr="00731C3D">
          <w:rPr>
            <w:rStyle w:val="Hyperlink"/>
            <w:i/>
            <w:iCs/>
          </w:rPr>
          <w:t>A&amp;D TM-2657P Waiting Room Blood Pressure Monitor</w:t>
        </w:r>
      </w:hyperlink>
    </w:p>
    <w:p w14:paraId="3E04CA6F" w14:textId="77777777" w:rsidR="007D5208" w:rsidRDefault="007D5208" w:rsidP="007D5208">
      <w:pPr>
        <w:rPr>
          <w:i/>
          <w:iCs/>
        </w:rPr>
      </w:pPr>
    </w:p>
    <w:p w14:paraId="5F5FE6E8" w14:textId="3A9C6623" w:rsidR="00731C3D" w:rsidRPr="007D5208" w:rsidRDefault="00731C3D" w:rsidP="007D5208">
      <w:pPr>
        <w:rPr>
          <w:i/>
          <w:iCs/>
        </w:rPr>
      </w:pPr>
      <w:r w:rsidRPr="00731C3D">
        <w:rPr>
          <w:i/>
          <w:iCs/>
        </w:rPr>
        <w:drawing>
          <wp:inline distT="0" distB="0" distL="0" distR="0" wp14:anchorId="1D072236" wp14:editId="7A7876EF">
            <wp:extent cx="5731510" cy="2436495"/>
            <wp:effectExtent l="0" t="0" r="2540" b="1905"/>
            <wp:docPr id="1878313610" name="Picture 1" descr="A screenshot of a computer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13610" name="Picture 1" descr="A screenshot of a computer monitor&#10;&#10;Description automatically generated"/>
                    <pic:cNvPicPr/>
                  </pic:nvPicPr>
                  <pic:blipFill>
                    <a:blip r:embed="rId6"/>
                    <a:stretch>
                      <a:fillRect/>
                    </a:stretch>
                  </pic:blipFill>
                  <pic:spPr>
                    <a:xfrm>
                      <a:off x="0" y="0"/>
                      <a:ext cx="5731510" cy="2436495"/>
                    </a:xfrm>
                    <a:prstGeom prst="rect">
                      <a:avLst/>
                    </a:prstGeom>
                  </pic:spPr>
                </pic:pic>
              </a:graphicData>
            </a:graphic>
          </wp:inline>
        </w:drawing>
      </w:r>
    </w:p>
    <w:sectPr w:rsidR="00731C3D" w:rsidRPr="007D5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2028"/>
    <w:multiLevelType w:val="hybridMultilevel"/>
    <w:tmpl w:val="C75A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F5256"/>
    <w:multiLevelType w:val="hybridMultilevel"/>
    <w:tmpl w:val="CCF4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D161F"/>
    <w:multiLevelType w:val="hybridMultilevel"/>
    <w:tmpl w:val="C19E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F476A8"/>
    <w:multiLevelType w:val="hybridMultilevel"/>
    <w:tmpl w:val="749C2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4585826">
    <w:abstractNumId w:val="0"/>
  </w:num>
  <w:num w:numId="2" w16cid:durableId="2055037143">
    <w:abstractNumId w:val="3"/>
  </w:num>
  <w:num w:numId="3" w16cid:durableId="878785149">
    <w:abstractNumId w:val="1"/>
  </w:num>
  <w:num w:numId="4" w16cid:durableId="99787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C6"/>
    <w:rsid w:val="000F32C6"/>
    <w:rsid w:val="001968A1"/>
    <w:rsid w:val="001A0D5A"/>
    <w:rsid w:val="00731C3D"/>
    <w:rsid w:val="007D5208"/>
    <w:rsid w:val="00983967"/>
    <w:rsid w:val="00FA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43AA"/>
  <w15:chartTrackingRefBased/>
  <w15:docId w15:val="{68E6B4A7-087A-4E52-BAC5-BADB456D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2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2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2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2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2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2C6"/>
    <w:rPr>
      <w:rFonts w:eastAsiaTheme="majorEastAsia" w:cstheme="majorBidi"/>
      <w:color w:val="272727" w:themeColor="text1" w:themeTint="D8"/>
    </w:rPr>
  </w:style>
  <w:style w:type="paragraph" w:styleId="Title">
    <w:name w:val="Title"/>
    <w:basedOn w:val="Normal"/>
    <w:next w:val="Normal"/>
    <w:link w:val="TitleChar"/>
    <w:uiPriority w:val="10"/>
    <w:qFormat/>
    <w:rsid w:val="000F3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2C6"/>
    <w:pPr>
      <w:spacing w:before="160"/>
      <w:jc w:val="center"/>
    </w:pPr>
    <w:rPr>
      <w:i/>
      <w:iCs/>
      <w:color w:val="404040" w:themeColor="text1" w:themeTint="BF"/>
    </w:rPr>
  </w:style>
  <w:style w:type="character" w:customStyle="1" w:styleId="QuoteChar">
    <w:name w:val="Quote Char"/>
    <w:basedOn w:val="DefaultParagraphFont"/>
    <w:link w:val="Quote"/>
    <w:uiPriority w:val="29"/>
    <w:rsid w:val="000F32C6"/>
    <w:rPr>
      <w:i/>
      <w:iCs/>
      <w:color w:val="404040" w:themeColor="text1" w:themeTint="BF"/>
    </w:rPr>
  </w:style>
  <w:style w:type="paragraph" w:styleId="ListParagraph">
    <w:name w:val="List Paragraph"/>
    <w:basedOn w:val="Normal"/>
    <w:uiPriority w:val="34"/>
    <w:qFormat/>
    <w:rsid w:val="000F32C6"/>
    <w:pPr>
      <w:ind w:left="720"/>
      <w:contextualSpacing/>
    </w:pPr>
  </w:style>
  <w:style w:type="character" w:styleId="IntenseEmphasis">
    <w:name w:val="Intense Emphasis"/>
    <w:basedOn w:val="DefaultParagraphFont"/>
    <w:uiPriority w:val="21"/>
    <w:qFormat/>
    <w:rsid w:val="000F32C6"/>
    <w:rPr>
      <w:i/>
      <w:iCs/>
      <w:color w:val="0F4761" w:themeColor="accent1" w:themeShade="BF"/>
    </w:rPr>
  </w:style>
  <w:style w:type="paragraph" w:styleId="IntenseQuote">
    <w:name w:val="Intense Quote"/>
    <w:basedOn w:val="Normal"/>
    <w:next w:val="Normal"/>
    <w:link w:val="IntenseQuoteChar"/>
    <w:uiPriority w:val="30"/>
    <w:qFormat/>
    <w:rsid w:val="000F3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2C6"/>
    <w:rPr>
      <w:i/>
      <w:iCs/>
      <w:color w:val="0F4761" w:themeColor="accent1" w:themeShade="BF"/>
    </w:rPr>
  </w:style>
  <w:style w:type="character" w:styleId="IntenseReference">
    <w:name w:val="Intense Reference"/>
    <w:basedOn w:val="DefaultParagraphFont"/>
    <w:uiPriority w:val="32"/>
    <w:qFormat/>
    <w:rsid w:val="000F32C6"/>
    <w:rPr>
      <w:b/>
      <w:bCs/>
      <w:smallCaps/>
      <w:color w:val="0F4761" w:themeColor="accent1" w:themeShade="BF"/>
      <w:spacing w:val="5"/>
    </w:rPr>
  </w:style>
  <w:style w:type="character" w:styleId="Hyperlink">
    <w:name w:val="Hyperlink"/>
    <w:basedOn w:val="DefaultParagraphFont"/>
    <w:uiPriority w:val="99"/>
    <w:unhideWhenUsed/>
    <w:rsid w:val="00731C3D"/>
    <w:rPr>
      <w:color w:val="467886" w:themeColor="hyperlink"/>
      <w:u w:val="single"/>
    </w:rPr>
  </w:style>
  <w:style w:type="character" w:styleId="UnresolvedMention">
    <w:name w:val="Unresolved Mention"/>
    <w:basedOn w:val="DefaultParagraphFont"/>
    <w:uiPriority w:val="99"/>
    <w:semiHidden/>
    <w:unhideWhenUsed/>
    <w:rsid w:val="0073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14154">
      <w:bodyDiv w:val="1"/>
      <w:marLeft w:val="0"/>
      <w:marRight w:val="0"/>
      <w:marTop w:val="0"/>
      <w:marBottom w:val="0"/>
      <w:divBdr>
        <w:top w:val="none" w:sz="0" w:space="0" w:color="auto"/>
        <w:left w:val="none" w:sz="0" w:space="0" w:color="auto"/>
        <w:bottom w:val="none" w:sz="0" w:space="0" w:color="auto"/>
        <w:right w:val="none" w:sz="0" w:space="0" w:color="auto"/>
      </w:divBdr>
    </w:div>
    <w:div w:id="18432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rimarycaresupplies.co.uk/a-d-tm-2657p-waiting-room-blood-pressure-moni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9FE64E-CB84-46E2-8277-CBC967A0D849}">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TotalTime>
  <Pages>3</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Sara (NEWPORT SURGERY)</dc:creator>
  <cp:keywords/>
  <dc:description/>
  <cp:lastModifiedBy>STEPHENS, Sara (NEWPORT SURGERY)</cp:lastModifiedBy>
  <cp:revision>3</cp:revision>
  <dcterms:created xsi:type="dcterms:W3CDTF">2024-12-13T12:10:00Z</dcterms:created>
  <dcterms:modified xsi:type="dcterms:W3CDTF">2024-12-13T12:20:00Z</dcterms:modified>
</cp:coreProperties>
</file>